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21 122/269 vom 3. September 2020</w:t>
      </w:r>
    </w:p>
    <w:p>
      <w:r>
        <w:t>BL Gerichte, 2020-09-03, DE</w:t>
      </w:r>
    </w:p>
    <w:p>
      <w:r>
        <w:rPr>
          <w:b/>
        </w:rPr>
        <w:t xml:space="preserve">Quelle: </w:t>
      </w:r>
      <w:r>
        <w:t>https://mcp.opencaselaw.ch/entscheid/bl_gerichte_725 21 122_269</w:t>
      </w:r>
    </w:p>
    <w:p>
      <w:r>
        <w:t>FR: BL_GERICHTE 725 21 122/269 du 3 septembre 2020</w:t>
      </w:r>
    </w:p>
    <w:p>
      <w:r>
        <w:t>IT: BL_GERICHTE 725 21 122/269 del 3 settembre 2020</w:t>
      </w:r>
    </w:p>
    <w:p>
      <w:pPr>
        <w:pStyle w:val="Heading2"/>
      </w:pPr>
      <w:r>
        <w:t>Regeste</w:t>
      </w:r>
    </w:p>
    <w:p>
      <w:r>
        <w:t>Leistungen</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Streitig und zu prüfen ist, ob die Beschwerdeführerin über den 31. Dezember 2019 bzw. über den 4. März 2020 hinaus Anspruch auf Leistungen der obligatorischen Unfallversicherung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3.2 Die Leistungspflicht eines Unfallversicherers gemäss UVG setzt - unter anderem -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beziehungsweise nicht zur gleichen Zeit eingetreten gedacht werden kann. Es genügt, wenn das schädigende Ereignis zusammen mit anderen Bedingungen die körperliche oder geistige Integrität der versicherten Person beeinträchtigt hat, der Unfall also nicht weggedacht werden kann, ohne dass die eingetretene gesundheitliche Störung entfiele (BGE 142 V 438 E. 1, 129 V 181 E. 3.1; vgl. auch Urteil des Bundesgerichts vom 6. Juni 2018, 8C_813/2017, E. 3.2, in: SVR 2018 UV Nr. 42 S. 151). Das Vorliegen eines natürlichen Kausalzusammenhangs ist eine Tatfrage und muss daher mit dem im Sozialversicherungsrecht üblichen Beweisgrad der überwiegenden Wahrscheinlichkeit nachgewiesen werden (BGE 119 V 338 E. 1; vgl. auch Urteil des Bundesgerichts vom 21. Januar 2020, 8C_623/2019, E. 2.1.2). Hierfür reicht es jedoch nicht aus, wenn - im Sinne der Formel "post hoc ergo propter hoc" - die Schädigung schon dann als durch einen Unfall verursacht angesehen würde, weil sie nach diesem aufgetreten ist (BGE 119 V 341 E. 2b/bb; vgl. auch Urteile des Bundesgerichts vom 29. Mai 2020, 8C_241/2020, E. 3, vom 21. August 2015, 8C_331/2015, E. 2.2.3.1, in: SVR 2016 UV Nr. 18 S. 57, und vom 9. November 2009, 8C_626/2009, E. 3.2, in: SVR 2010 UV Nr. 10 S. 41). 3.3 Um die Leistungspflicht des Unfallversicherers bejahen zu können,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129 V 177 E. 3.3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24. August 2007, U 56/06, E. 6.2.2 am Ende; BGE 112 V 30 E. 1b). 3.4 Ist die Unfallkausalität einmal mit der erforderlichen Wahrscheinlichkeit nachgewiesen, entfällt die Leistungspflicht des Unfallversicherers erst, wenn der Unfall nicht die natürliche und adäquate Ursache des Gesundheitsschadens darstellt, wenn also Letzter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eingestellt hätte (status quo sine), erreicht ist. Selbiges gilt dann, wenn durch einen Unfall ein krankhafter Vorzustand verschlimmert oder überhaupt erst manifest wird. Die versicherte Person hat bis zum Erreichen des Status quo sine vel ante deshalb Anspruch auf eine zweckgemässe Behandlung und allenfalls Taggelder (vgl. Urteile des Bundesgerichts vom 20. Juni 2020, 8C_956/2011, E. 4.2, vom 29. Januar 2020, 8C_614/2019, E. 5.2, in: SVR 2020 UV Nr. 24 S. 97, und vom 21. August 2015, 8C_331/2015, E. 2.1.1, in: SVR 2016 Nr. 18 S. 57). Die Beweislast für den - ebenfalls dem Beweisgrad der überwiegenden Wahrscheinlichkeit unterliegenden - Wegfall der Kausalität liegt beim Unfallversicherer (vgl. Urteile des Bundesgerichts vom 29. Mai 2020, 8C_241/2020, E. 3, vom 19. März 2019, 8C_834/2018, E. 3, und vom 28. August 2018, 8C_421/2018, E. 3.2, in: SVR 2019 IV Nr. 9 S. 27).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(vgl. Urteile des Bundesgerichts vom 14. Februar 2020, 8C_840/2019, E. 3.2, vom 10. Januar 2020, 8C_548/2019, E. 3.2, und vom 5. Dezember 2018, 8C_276/2018, E. 2.3, je mit Hinweisen). 3.5 Während bei der Frage, ob ein Kausalzusammenhang überhaupt jemals gegeben ist, die versicherte Person beweisbelastet ist, trägt die Beweislast für einen behaupteten Wegfall der Kausalität die Unfallversicherung (vgl. Urteile des Bundesgerichts vom 11. März 2020, 8C_68/2020, E. 3.2, und 21. Januar 2020, 8C_623/2019, E. 2.1.2) Im Sozialversicherungsprozess tragen die Parteien allerdings in der Regel eine Beweislast nur insofern, als im Falle der Beweislosigkeit der Entscheid zu Ungunsten jener Partei ausfällt, die aus dem unbewiesen gebliebenen Sachverhalt Rechte ableiten wollte (BGE 115 V 142 E. 8a, 107 V 163 E. 3a). Diese Beweisregel greift allerdings erst Platz, wenn es sich als unmöglich erweist, im Rahmen des Untersuchungsgrundsatzes einen Sachverhalt zu ermitteln, der zumindest die Wahrscheinlichkeit für sich hat, der Wirklichkeit zu entsprechen (BGE 138 V 221 E. 6, 117 V 264 E. 3b, je mit Hinweisen). 4.1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wie alle anderen Beweismittel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w:t>
      </w:r>
    </w:p>
    <w:p>
      <w:r>
        <w:rPr>
          <w:b/>
        </w:rPr>
        <w:t>E. 5</w:t>
      </w:r>
    </w:p>
    <w:p>
      <w:r>
        <w:t>Die Allianz führt an, dass die geltend gemachte medizinische Gesundheitsschädigung aus medizinsicher Sicht während maximal sechs Monaten als überwiegend wahrscheinlich mit einem Unfallereignis wie dem vorliegenden in Zusammenhang stehend angesehen werden könne. Es sei daher überwiegend wahrscheinlich nachgewiesen, dass spätestens per 4. März 2020 die Unfallkausalität entfalle. Die Beschwerdeführerin hält dem entgegen, dass die Beschwerdegegnerin den Wegfall der Unfallkausalität nicht überwiegend wahrscheinlich nachgewiesen habe und dass insbesondere nicht nachvollzogen werden könne, weshalb die Heilungskosten für die Restbeschwerden zwar bis am 4. März 2020 übernommen würden, eine Auswirkung der Restbeschwerden auf die Arbeitsfähigkeit allerdings ab Januar 2020 nicht mehr anzunehmen sei.</w:t>
      </w:r>
    </w:p>
    <w:p>
      <w:r>
        <w:rPr>
          <w:b/>
        </w:rPr>
        <w:t>E. 5.1</w:t>
      </w:r>
    </w:p>
    <w:p>
      <w:r>
        <w:t>Zur Beurteilung des Gesundheitszustands sind folgende Akten zu berücksichtigen: 5.2.1 Gemäss dem Dokumentationsbogen zur Erstkonsultation nach kranio-zervikalem Beschleunigungstrauma vom 9. September 2019 von Dr. med. C.____, FMH Allgemeine und Innere Medizin, habe sich die Versicherte bei der Heckkollision in aufrechter Sitzposition befunden, sei aber nicht auf die Kollision gefasst gewesen. Der Air-Bag sei nicht ausgelöst worden und eine Bewusstlosigkeit sowie eine Gedächtnislücke sei verneint worden. Als Beschwerden seien einzig Nackenbeschwerden, die sofort aufgetreten seien, und Kopfschmerzen, die mit zwölf Stunden Verzögerung aufgetreten seien, genannt worden. In der Folge seien der Versicherten schmerzstillende Medikamente verordnet worden. 5.2.2 Bei der Magnetresonanztomographie (MRT) vom 3. Oktober 2019 wurde eine geringe Chondrose und zirkuläre Diskusprotrusion der Halswirbelknochen (HWK) 4-6 jedoch ohne spinale oder foraminale Stenose, sowie eine leichte zirkuläre Diskusprotrusion, ohne wesentliche spinale oder foraminale Stenose der HWK 6/7 festgestellt. Gemäss der Einschätzung von Dr. med. D.____, FMH Radiologie, bestehe jedoch kein Nachweis einer traumatischen Läsion. Eine Diskushernie sei ebenfalls nicht ersichtlich. 5.2.3 Gemäss dem ersten Arztzeugnis von Dr. C.____ vom 17. Oktober 2019 wurde ein kranio-zervikales Beschleunigungstrauma Grad II infolge eines Auffahrunfalles diagnostiziert, welches sich in Form einer Druckdolenz der Nackenmuskeln und Kopfschmerzen äussere. Die Kopfbewegung sei noch leicht eingeschränkt. In der Folge sei die Versicherte vom 6. September 2019 bis zum 23. September 2019 als 100% arbeitsunfähig und ab dem 24. September 2019 zunächst bis zum 31. Oktober 2019 50% arbeitsunfähig einzustufen. 5.2.4 In einem weiteren ärztlichen Bericht vom 2. Dezember 2019 hielt Dr. C.____ fest, dass sich der Gesundheitszustand der Versicherten trotz Therapie nicht gebessert habe. So klage die Versicherte weiterhin über Kopf- und Nackenschmerzen und sei in der Kopfbewegung noch leicht eingeschränkt. Auch bestehe eine ausgeprägte Druckdolenz im Bereich der Nacken- und paravertebralen Muskulatur. Da die Versicherte als Fitnessinstruktorin auf eine tadellose Körperfunktion angewiesen sei, sei weiterhin von einer 50%igen Arbeitsunfähigkeit auszugehen. In der Folge wurde der Beschwerdeführerin eine 50%ige Arbeitsunfähigkeit bis zum 31. Dezember 2019 bescheinigt (anschliessend verlängert bis und mit April 2020, gemäss den vorliegenden ärztlichen Zeugnissen). 5.2.5 Die Angelegenheit wurde sodann Dr. med. E.____, FMH Allgemeinmedizin, zur medizinischen Beurteilung vorgelegt. In seiner Einschätzung vom 5. Dezember 2019 stellte dieser fest, dass sich weder ein Erstbeurteilungsbogen, ein Polizeibericht noch die genauen Befunde der ersten Arztkonsultation in den Akten befunden hätten. Dennoch sei die Arbeitsunfähigkeit aus medizinischer Sicht in Anbetracht der dokumentierten Anfangsbeschwerden und dem vorhandenen Unfallbeschrieb unabhängig vom Beruf zu hoch eingeschätzt worden. In der überwiegenden Mehrheit solcher Fälle seien die Beschwerden nach höchstens vier Wochen abgeklungen. Längere Beschwerden hätten in der Regel unfallfremde Gründe. Zusammenfassend und gestützt auf die vorhandenen Informationen sei von einer medizinisch nachvollziehbaren vollen Arbeitsunfähigkeit von bis zu zehn Tagen auszugehen. Darüber hinaus könne noch für weitere zwanzig Tag eine teilweise Arbeitsunfähigkeit nachvollzogen werden. 5.2.6 Am 14. Januar 2020 wurde das Dossier sodann an den beratenden Arzt Dr. F.____, FMH Allgemeine Innere Medizin, zur Einschätzung vorgelegt. Dr. F.____ kam zum Schluss, dass unfallfremde Faktoren - leichtgradige degenerative HWS-Veränderungen - vorlägen und dass der Status quo ante bzw. sine mit überwiegender Wahrscheinlichkeit bereits Anfangs bis Mitte Oktober 2019 erreicht worden sei. Bis Mitte Oktober sei die Annahme einer 50%igen Arbeitsunfähigkeit akzeptabel. Die darüberhinausgehende attestierte Arbeitsunfähigkeit sei jedoch nicht nachvollziehbar. 5.2.7 Im Weiteren wurde das Dossier Dr. med. G.____, FMH Neurologie, zur Beurteilung vorgelegt. In seiner Einschätzung vom 19. Mai 2020 hielt er fest, dass keine unfallfremden Faktoren vorliegen würden. In ihrer angestammten Tätigkeit als Fitnesstrainerin sei die Versicherte nach spätestens vier Monaten wieder zu 100% arbeitsfähig, wobei angenommen werden könne, dass Restbeschwerden bis am 4. März 2020 bestanden hätten.</w:t>
      </w:r>
    </w:p>
    <w:p>
      <w:r>
        <w:rPr>
          <w:b/>
        </w:rPr>
        <w:t>E. 5.3</w:t>
      </w:r>
    </w:p>
    <w:p>
      <w:r>
        <w:t>Wie oben ausgeführt, sind an die Beweiswürdigung strenge Anforderungen zu stellen, wenn ein Versicherungsfall wie hier ohne Einholung eines externen Gutachtens entschieden werden soll. Bestehen auch nur geringe Zweifel an der Zuverlässigkeit und Schlüssigkeit der versicherungsinternen ärztlichen Feststellungen, so sind ergänzende Abklärungen vorzunehmen (vgl. E. 6.2 hiervor und die dortigen Rechtsprechungshinweise). Hinsichtlich des Beweiswertes eines Arztberichtes ist entscheidend, ob dieser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Solche Zweifel liegen hier vor. Die Allianz stützt sich bei ihrer Argumentation auf den Bericht von Dr. G.____ vom 19. Mai 2020, wonach die Beschwerdeführerin spätestens vier Monate nach dem Unfallereignis wieder zu 100% arbeitsfähig sei, Restbeschwerden jedoch bis am 4. März 2020 angenommen werden könnten. Zunächst fällt auf, dass Dr. G.____, anders als bei gewöhnlichen versicherungsinternen Aktengutachten üblich, seinem Bericht keinen Abriss der Krankengeschichte durch eine Auflistung der zur Verfügung stehenden Vorakten voranstellt. Damit ist bereits unklar, ob er seine Beurteilung in Kenntnis der vollständigen Akten abgegeben hat. Auch erwähnt er bei seiner Einschätzung nicht, auf welche ärztlichen Berichte und bildgebenden Befunde er sich abstützt. Weiter ist zu berücksichtigen, dass ohnehin keine ausführlichen Berichte über den Gesundheitszustand der Beschwerdeführerin vorliegen, auf die er sich stützen könnte, zumal die vorhergehenden vertrauensärztlichen Aktenbeurteilungen allesamt sehr summarisch ausgefallen sind, die darin aufgeführten Einschätzungen - welche in Bezug auf den Zeitraum der Arbeitsunfähigkeit allesamt unterschiedlich ausfallen - jeglicher Begründung entbehren und sich zum Teil auch auf eine lückenhafte Aktenlage stützen. Der Beschwerdeführerin kann gefolgt werden, wenn sie anführt, dass die Angaben von Dr. G.____ nicht auf einer eingehenden Untersuchung beruhen und nur prognostische Angaben, welche sich auf Erfahrungswerte stützen, enthalten. Zudem ist ihr zuzustimmen, wenn sie ausführt, dass die Angaben zur vollständigen Arbeitsfähigkeit trotz bestehender Restbeschwerden nicht einleuchtend erscheinen. Für die Annahme einer 100%igen Arbeitsfähigkeit ab Januar 2020 sowie für das Bestehen von Restbeschwerden bis zum 4. März 2020, welche aber keinen Einfluss auf die Arbeitsfähigkeit haben sollen, wird keine Begründung angeführt. Die Ausführungen von Dr. G.____ sind entsprechend nicht nachvollziehbar. Soweit die Beschwerdegegnerin geltend macht, dass auf die Arbeitsunfähigkeitszeugnisse des Hausarztes nicht abgestellt werden könne, weil er die Beschwerdeführerin nach dem 10. Januar 2020 nicht mehr persönlich untersucht habe, kann sie daraus nichts zu ihren Gunsten ableiten, da die Taggeldleistungen von der Beschwerdegegnerin bereits per 31. Dezember 2019, also zu einem Zeitpunkt, in dem die Beschwerdeführerin noch regelmässig von Dr. C.____ untersucht wurde, eingestellt wurden. Dennoch ist der Beschwerdegegnerin zuzustimmen, dass die Arztzeugnisse allein noch keinen Anspruch auf Taggelder bis Ende April 2020 zu begründen vermögen, enthalten sie doch für die teilweise Arbeitsunfähigkeit der Beschwerdeführerin - im Gegensatz zu den Berichten vom 17. Oktober und 2. Dezember 2019 - keine Ausführungen zum Gesundheitszustand der Versicherten. Zudem wurde gemäss den vorliegenden Akten nach dem 10. Januar 2020 keine persönliche Untersuchung mehr vorgenommen, was die Beweiskraft der Arbeitsunfähigkeitszeugnisse zusätzlich in Frage stellt. Nicht nachzuvollziehen ist im Weiteren das Vorbringen der Beschwerdegegnerin, dass aus der MRT vom 3. Oktober 2019 deutliche degenerative Veränderungen hervorgehen würden, die vom Hausarzt entgegen seiner Abklärungspflicht nicht näher untersucht worden seien. Die Beschwerdegegnerin verkennt dabei einerseits, dass auf der MRT nur eine leichte Chondrose ersichtlich ist und demnach keine deutlichen degenerativen Veränderungen vorliegen und andererseits, dass die dem Hausarzt unterstellte Abklärungspflicht nicht bei ihm, sondern bei der Versicherung selbst liegt. Trotz dieser Abklärungspflicht hat es die Beschwerdegegnerin auch im Beschwerdeverfahren unterlassen, weitere - umfassendere - Abklärungen des Gesundheitszustands der Beschwerdeführerin in die Wege zu leiten. Insgesamt ist somit festzuhalten, dass die vorliegenden ärztlichen Berichte, auf die sich die Beschwerdegegnerin stützt, für die streitigen Belange weder umfassend sind, noch auf allseitigen Untersuchungen beruhen. Die Berichte wurden in Unkenntnis der Vorakten erstellt und entbehren in Bezug auf die Darlegung der medizinischen Zusammenhänge und die Beurteilung der medizinischen Situation jeglicher Begründung, weswegen auf sie nicht abgestellt werden kann. Die ärztlichen Berichte, auf die sich die Beschwerdeführerin stützt, vermögen aufgrund ihrer mangelhaften Begründung und der fehlenden persönlichen Untersuchungen ab dem 10. Januar 2020 allerdings ebenfalls nicht als Grundlage für einen Anspruch auf Taggeldleistungen bis April 2020 zu dienen.</w:t>
      </w:r>
    </w:p>
    <w:p>
      <w:r>
        <w:rPr>
          <w:b/>
        </w:rPr>
        <w:t>E. 5.4</w:t>
      </w:r>
    </w:p>
    <w:p>
      <w:r>
        <w:t>Zusammenfassend ist somit festzuhalten, dass vorliegend Zweifel an der Zuverlässigkeit und Schlüssigkeit der von der Beschwerdegegnerin als massgeblich erachteten versicherungsinternen Beurteilung sowie an den von der Beschwerdeführerin beigebrachten ärztlichen Berichten bestehen. Nach dem oben Gesagten (vgl. E. 5.3 hiervor) kann bei diesem Beweisergebnis nicht auf die vorliegenden Berichte abgestellt werden. Der angefochtene Einspracheentscheid ist deshalb aufzuheben.</w:t>
      </w:r>
    </w:p>
    <w:p>
      <w:r>
        <w:rPr>
          <w:b/>
        </w:rPr>
        <w:t>E. 6</w:t>
      </w:r>
    </w:p>
    <w:p>
      <w:r>
        <w:t>Hält man sich die sich aus dem Untersuchungsgrundsatz ergebende Pflicht des Versicherungsträgers, den rechtserheblichen (medizinischen) Sachverhalt vollständig festzustellen (vgl. Art. 43 Abs. 1 ATSG), vor Augen, so müssen die von der Allianz im Verwaltungsverfahren getroffenen Abklärungen letztlich als nicht ausreichend bezeichnet werden. Vor diesem Hintergrund rechtfertigt es sich, die Angelegenheit an die Allianz zurückzuweisen. Diese wird nun weitere Abklärung zur Ermittlung des Gesundheitszustandes und der Dauer der teilweisen Arbeitsunfähigkeit vorzunehmen haben. Anschliessend wird die Allianz gestützt auf die Ergebnisse der Aktenergänzung über den Leistungsanspruch der Versicherten neu zu befinden haben. Die vorliegende Beschwerde ist in diesem Sinne gutzuheissen. 7.1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7.2 Gemäss Art. 61 lit. g ATSG hat die obsiegende Beschwerde führende Person Anspruch auf Ersatz der Parteikosten. Diese werden vom Gericht festgesetzt und ohne Rücksicht auf den Streitwert nach der Bedeutung der Streitsache und nach der Schwierigkeit des Prozesses bemessen. Nach ständiger Praxis des Bundesgerichts ist unter Obsiegen im Streit um eine Leistung in der Sozialversicherung nicht nur das materielle Obsiegen in dem Sinne zu verstehen, dass die Beschwerde führende Person die beantragte Leistung erhält. Vielmehr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(ZAK 1987, S. 266 ff.). Nachdem die Beschwerde gutzuheissen und die Sache zur Abklärung im Sinne der Erwägungen an die Beschwerdegegnerin zurückzuweisen ist, hat diese der Beschwerdeführerin eine Parteientschädigung auszurichten. In der Honorarnote vom 23. Juni 2021 hat der Rechtsvertreter der Beschwerdeführerin einen Aufwand von 10 Stunden und 55 Minuten geltend gemacht, was angesichts der sich stellenden Sachverhalts- und Rechtsfragen nicht zu beanstanden ist. Nicht zu beanstanden sind ferner die in der Honorarnote ausgewiesenen Auslagen von Fr. 28.60. Die Beschwerdegegnerin hat der Beschwerdeführerin demnach eine Parteientschädigung in der Höhe von Fr. 2'970.20 (10.917 Stunden à Fr. 250.-- zuzüglich Auslagen von Fr. 28.60 sowie 7.7% Mehrwertsteuer) zu bezahlen.</w:t>
      </w:r>
    </w:p>
    <w:p>
      <w:r>
        <w:rPr>
          <w:b/>
        </w:rPr>
        <w:t>E. 8</w:t>
      </w:r>
    </w:p>
    <w:p>
      <w:r>
        <w:t>Nach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Einspracheentscheid der Allianz Suisse Versicherungs-Gesellschaft AG vom 2. März 2021 aufgehoben und die Angelegenheit zur weiteren Abklärung im Sinne der Erwägungen an die Vorinstanz zurückgewiesen wird. 2. Es werden keine Verfahrenskosten erhoben. 3. Die Allianz Suisse Versicherungs-Gesellschaft AG hat der Beschwerdeführerin eine Parteientschädigung in der Höhe von Fr. 2'970.20 (inkl.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